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80" w:rsidRDefault="00875280"/>
    <w:p w:rsidR="00AC08E2" w:rsidRDefault="00AC08E2"/>
    <w:p w:rsidR="00AC08E2" w:rsidRDefault="007F6D77" w:rsidP="007F6D77">
      <w:pPr>
        <w:rPr>
          <w:b/>
          <w:sz w:val="36"/>
        </w:rPr>
      </w:pPr>
      <w:r>
        <w:rPr>
          <w:b/>
          <w:sz w:val="36"/>
        </w:rPr>
        <w:t xml:space="preserve">   </w:t>
      </w:r>
      <w:r w:rsidR="00AC08E2" w:rsidRPr="00B57C13">
        <w:rPr>
          <w:b/>
          <w:sz w:val="36"/>
        </w:rPr>
        <w:t>L’ACAD</w:t>
      </w:r>
      <w:r w:rsidR="00AC08E2" w:rsidRPr="00B57C13">
        <w:rPr>
          <w:rFonts w:cstheme="minorHAnsi"/>
          <w:b/>
          <w:sz w:val="36"/>
        </w:rPr>
        <w:t>É</w:t>
      </w:r>
      <w:r w:rsidR="00AC08E2" w:rsidRPr="00B57C13">
        <w:rPr>
          <w:b/>
          <w:sz w:val="36"/>
        </w:rPr>
        <w:t>MIE RECRUTE</w:t>
      </w:r>
      <w:r w:rsidR="003E70F3">
        <w:rPr>
          <w:b/>
          <w:sz w:val="36"/>
        </w:rPr>
        <w:t xml:space="preserve"> DANS LA NI</w:t>
      </w:r>
      <w:r w:rsidR="003E70F3">
        <w:rPr>
          <w:rFonts w:cstheme="minorHAnsi"/>
          <w:b/>
          <w:sz w:val="36"/>
        </w:rPr>
        <w:t>È</w:t>
      </w:r>
      <w:r w:rsidR="003E70F3">
        <w:rPr>
          <w:b/>
          <w:sz w:val="36"/>
        </w:rPr>
        <w:t>VRE</w:t>
      </w:r>
    </w:p>
    <w:p w:rsidR="003E70F3" w:rsidRPr="00B57C13" w:rsidRDefault="003E70F3" w:rsidP="00BA40A5">
      <w:pP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inline distT="0" distB="0" distL="0" distR="0">
            <wp:extent cx="5090984" cy="1884427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_RS_F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818" cy="189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0A5" w:rsidRPr="004E290A" w:rsidRDefault="007F6D77" w:rsidP="004E290A">
      <w:pPr>
        <w:jc w:val="center"/>
        <w:rPr>
          <w:b/>
          <w:sz w:val="36"/>
        </w:rPr>
      </w:pPr>
      <w:r>
        <w:rPr>
          <w:b/>
          <w:sz w:val="36"/>
        </w:rPr>
        <w:t>Directeur(</w:t>
      </w:r>
      <w:proofErr w:type="spellStart"/>
      <w:r>
        <w:rPr>
          <w:b/>
          <w:sz w:val="36"/>
        </w:rPr>
        <w:t>ice</w:t>
      </w:r>
      <w:proofErr w:type="spellEnd"/>
      <w:r>
        <w:rPr>
          <w:b/>
          <w:sz w:val="36"/>
        </w:rPr>
        <w:t>) de projet : Nièvre terre des ambitions</w:t>
      </w:r>
    </w:p>
    <w:p w:rsidR="007F6D77" w:rsidRDefault="007F6D77" w:rsidP="00BA40A5">
      <w:pPr>
        <w:rPr>
          <w:b/>
          <w:sz w:val="28"/>
          <w:szCs w:val="28"/>
          <w:u w:val="single"/>
        </w:rPr>
      </w:pPr>
    </w:p>
    <w:p w:rsidR="00BA40A5" w:rsidRPr="007F6D77" w:rsidRDefault="00BA40A5" w:rsidP="00BA40A5">
      <w:pPr>
        <w:rPr>
          <w:b/>
          <w:sz w:val="24"/>
          <w:szCs w:val="24"/>
        </w:rPr>
      </w:pPr>
      <w:r w:rsidRPr="007F6D77">
        <w:rPr>
          <w:b/>
          <w:sz w:val="24"/>
          <w:szCs w:val="24"/>
          <w:u w:val="single"/>
        </w:rPr>
        <w:t>L’essentiel</w:t>
      </w:r>
      <w:r w:rsidRPr="007F6D77">
        <w:rPr>
          <w:b/>
          <w:sz w:val="24"/>
          <w:szCs w:val="24"/>
        </w:rPr>
        <w:t> :</w:t>
      </w:r>
    </w:p>
    <w:p w:rsidR="00BA40A5" w:rsidRDefault="007F6D77" w:rsidP="00BA40A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F6D77">
        <w:rPr>
          <w:sz w:val="24"/>
          <w:szCs w:val="24"/>
        </w:rPr>
        <w:t>Cadre directeur(</w:t>
      </w:r>
      <w:proofErr w:type="spellStart"/>
      <w:r w:rsidRPr="007F6D77">
        <w:rPr>
          <w:sz w:val="24"/>
          <w:szCs w:val="24"/>
        </w:rPr>
        <w:t>ice</w:t>
      </w:r>
      <w:proofErr w:type="spellEnd"/>
      <w:r w:rsidRPr="007F6D77">
        <w:rPr>
          <w:sz w:val="24"/>
          <w:szCs w:val="24"/>
        </w:rPr>
        <w:t>) de projet : catégorie A</w:t>
      </w:r>
      <w:r w:rsidR="00B715C0">
        <w:rPr>
          <w:rStyle w:val="Appelnotedebasdep"/>
          <w:sz w:val="24"/>
          <w:szCs w:val="24"/>
        </w:rPr>
        <w:footnoteReference w:id="1"/>
      </w:r>
    </w:p>
    <w:p w:rsidR="00A137E8" w:rsidRPr="007F6D77" w:rsidRDefault="00A137E8" w:rsidP="00BA40A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Référence</w:t>
      </w:r>
      <w:r w:rsidR="00285A7A">
        <w:rPr>
          <w:sz w:val="24"/>
          <w:szCs w:val="24"/>
        </w:rPr>
        <w:t xml:space="preserve"> métier </w:t>
      </w:r>
      <w:r w:rsidR="00921516">
        <w:rPr>
          <w:sz w:val="24"/>
          <w:szCs w:val="24"/>
        </w:rPr>
        <w:t>RMFP</w:t>
      </w:r>
      <w:r w:rsidR="00921516">
        <w:rPr>
          <w:rStyle w:val="Appelnotedebasdep"/>
          <w:sz w:val="24"/>
          <w:szCs w:val="24"/>
        </w:rPr>
        <w:footnoteReference w:id="2"/>
      </w:r>
      <w:r w:rsidR="00921516">
        <w:rPr>
          <w:sz w:val="24"/>
          <w:szCs w:val="24"/>
        </w:rPr>
        <w:t> : responsable sectoriel</w:t>
      </w:r>
    </w:p>
    <w:p w:rsidR="007F6D77" w:rsidRDefault="00BA40A5" w:rsidP="00DA34E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F6D77">
        <w:rPr>
          <w:sz w:val="24"/>
          <w:szCs w:val="24"/>
        </w:rPr>
        <w:t>Titulaire ou contractuel(le)</w:t>
      </w:r>
    </w:p>
    <w:p w:rsidR="00B715C0" w:rsidRDefault="00B715C0" w:rsidP="00DA34E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 + 3 minimum</w:t>
      </w:r>
    </w:p>
    <w:p w:rsidR="007F6D77" w:rsidRPr="006C559D" w:rsidRDefault="007F6D77" w:rsidP="006C559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C559D">
        <w:rPr>
          <w:sz w:val="24"/>
          <w:szCs w:val="24"/>
        </w:rPr>
        <w:t xml:space="preserve">Contractuel(le) : rémunération à partir de </w:t>
      </w:r>
      <w:r w:rsidR="0029247F" w:rsidRPr="006C559D">
        <w:rPr>
          <w:sz w:val="24"/>
          <w:szCs w:val="24"/>
        </w:rPr>
        <w:t>2000€ net mensuels</w:t>
      </w:r>
    </w:p>
    <w:p w:rsidR="00B715C0" w:rsidRPr="007F6D77" w:rsidRDefault="00B715C0" w:rsidP="00DA34E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Expérience avérée en conduite de projets</w:t>
      </w:r>
      <w:bookmarkStart w:id="0" w:name="_GoBack"/>
      <w:bookmarkEnd w:id="0"/>
    </w:p>
    <w:p w:rsidR="00BA40A5" w:rsidRPr="007F6D77" w:rsidRDefault="007F6D77" w:rsidP="00DA34E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F6D77">
        <w:rPr>
          <w:sz w:val="24"/>
          <w:szCs w:val="24"/>
        </w:rPr>
        <w:t xml:space="preserve">Temps de travail hebdomadaire de </w:t>
      </w:r>
      <w:r w:rsidR="00BA40A5" w:rsidRPr="007F6D77">
        <w:rPr>
          <w:sz w:val="24"/>
          <w:szCs w:val="24"/>
        </w:rPr>
        <w:t>37h30 – 49 jours de congés</w:t>
      </w:r>
    </w:p>
    <w:p w:rsidR="00B57C13" w:rsidRPr="007F6D77" w:rsidRDefault="007F6D77" w:rsidP="007F6D77">
      <w:pPr>
        <w:pStyle w:val="Paragraphedeliste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>Poste basé</w:t>
      </w:r>
      <w:r w:rsidR="003E70F3" w:rsidRPr="007F6D77">
        <w:rPr>
          <w:sz w:val="24"/>
          <w:szCs w:val="24"/>
        </w:rPr>
        <w:t xml:space="preserve"> à la direction des services départementaux de l’éducation nationale de la Nièvre (DSDEN 58</w:t>
      </w:r>
      <w:r w:rsidR="003063AC">
        <w:rPr>
          <w:sz w:val="24"/>
          <w:szCs w:val="24"/>
        </w:rPr>
        <w:t>)</w:t>
      </w:r>
    </w:p>
    <w:p w:rsidR="007F6D77" w:rsidRPr="007F6D77" w:rsidRDefault="007F6D77" w:rsidP="007F6D77">
      <w:pPr>
        <w:pStyle w:val="Paragraphedeliste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>Télétravail possible à hauteur de 1 à 2 journées par semaine</w:t>
      </w:r>
    </w:p>
    <w:p w:rsidR="007F6D77" w:rsidRDefault="007F6D77" w:rsidP="00B57C13">
      <w:pPr>
        <w:spacing w:before="120" w:after="120"/>
        <w:jc w:val="both"/>
        <w:rPr>
          <w:b/>
          <w:sz w:val="28"/>
          <w:szCs w:val="26"/>
          <w:u w:val="single"/>
        </w:rPr>
      </w:pPr>
    </w:p>
    <w:p w:rsidR="00B57C13" w:rsidRPr="007F6D77" w:rsidRDefault="00B57C13" w:rsidP="00B57C13">
      <w:pPr>
        <w:spacing w:before="120" w:after="120"/>
        <w:jc w:val="both"/>
        <w:rPr>
          <w:b/>
          <w:sz w:val="24"/>
          <w:szCs w:val="24"/>
        </w:rPr>
      </w:pPr>
      <w:r w:rsidRPr="007F6D77">
        <w:rPr>
          <w:b/>
          <w:sz w:val="24"/>
          <w:szCs w:val="24"/>
          <w:u w:val="single"/>
        </w:rPr>
        <w:t>Le descriptif de l’employeur</w:t>
      </w:r>
      <w:r w:rsidRPr="007F6D77">
        <w:rPr>
          <w:b/>
          <w:sz w:val="24"/>
          <w:szCs w:val="24"/>
        </w:rPr>
        <w:t> :</w:t>
      </w:r>
    </w:p>
    <w:p w:rsidR="00B57C13" w:rsidRPr="007F6D77" w:rsidRDefault="00B57C13" w:rsidP="00B57C13">
      <w:pPr>
        <w:pStyle w:val="Paragraphedeliste"/>
        <w:numPr>
          <w:ilvl w:val="1"/>
          <w:numId w:val="3"/>
        </w:numPr>
        <w:spacing w:before="120"/>
        <w:ind w:left="1434" w:hanging="357"/>
        <w:rPr>
          <w:sz w:val="24"/>
          <w:szCs w:val="24"/>
        </w:rPr>
      </w:pPr>
      <w:r w:rsidRPr="007F6D77">
        <w:rPr>
          <w:sz w:val="24"/>
          <w:szCs w:val="24"/>
          <w:u w:val="single"/>
        </w:rPr>
        <w:t>Le descriptif général de l’Académie de Dijon</w:t>
      </w:r>
      <w:r w:rsidRPr="007F6D77">
        <w:rPr>
          <w:sz w:val="24"/>
          <w:szCs w:val="24"/>
        </w:rPr>
        <w:t> :</w:t>
      </w:r>
    </w:p>
    <w:p w:rsidR="00B57C13" w:rsidRPr="007F6D77" w:rsidRDefault="00B57C13" w:rsidP="00B57C13">
      <w:pPr>
        <w:pStyle w:val="Paragraphedeliste"/>
        <w:spacing w:before="120" w:after="120"/>
        <w:ind w:left="1440"/>
        <w:contextualSpacing w:val="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>L’éducation nationale est le 1</w:t>
      </w:r>
      <w:r w:rsidRPr="007F6D77">
        <w:rPr>
          <w:sz w:val="24"/>
          <w:szCs w:val="24"/>
          <w:vertAlign w:val="superscript"/>
        </w:rPr>
        <w:t>er</w:t>
      </w:r>
      <w:r w:rsidRPr="007F6D77">
        <w:rPr>
          <w:sz w:val="24"/>
          <w:szCs w:val="24"/>
        </w:rPr>
        <w:t xml:space="preserve"> employeur public de France et l’Académie de Dijon, le 1</w:t>
      </w:r>
      <w:r w:rsidRPr="007F6D77">
        <w:rPr>
          <w:sz w:val="24"/>
          <w:szCs w:val="24"/>
          <w:vertAlign w:val="superscript"/>
        </w:rPr>
        <w:t>er</w:t>
      </w:r>
      <w:r w:rsidRPr="007F6D77">
        <w:rPr>
          <w:sz w:val="24"/>
          <w:szCs w:val="24"/>
        </w:rPr>
        <w:t xml:space="preserve"> employeur de proximité au sein des 4 départements qui la composent (Côte-d’Or, Nièvre, Saône-et-Loire et Yonne). Elle emploie 27 000 personnels et scolarise près de 140 000 écoliers du 1</w:t>
      </w:r>
      <w:r w:rsidRPr="007F6D77">
        <w:rPr>
          <w:sz w:val="24"/>
          <w:szCs w:val="24"/>
          <w:vertAlign w:val="superscript"/>
        </w:rPr>
        <w:t>er</w:t>
      </w:r>
      <w:r w:rsidRPr="007F6D77">
        <w:rPr>
          <w:sz w:val="24"/>
          <w:szCs w:val="24"/>
        </w:rPr>
        <w:t xml:space="preserve"> degré dans 1 796 écoles, et près de 130 000 élèves du 2</w:t>
      </w:r>
      <w:r w:rsidRPr="007F6D77">
        <w:rPr>
          <w:sz w:val="24"/>
          <w:szCs w:val="24"/>
          <w:vertAlign w:val="superscript"/>
        </w:rPr>
        <w:t>nd</w:t>
      </w:r>
      <w:r w:rsidRPr="007F6D77">
        <w:rPr>
          <w:sz w:val="24"/>
          <w:szCs w:val="24"/>
        </w:rPr>
        <w:t xml:space="preserve"> degré dans 60 lycées et lycées professionnels (public et privé), 3 établissements régionaux d’enseignement adapté et 183 </w:t>
      </w:r>
      <w:r w:rsidRPr="007F6D77">
        <w:rPr>
          <w:sz w:val="24"/>
          <w:szCs w:val="24"/>
        </w:rPr>
        <w:lastRenderedPageBreak/>
        <w:t>collèges (public et privé). L’académie compte également 45 700 étudiants (classe prépa, BTS et Université) et 8 900 apprentis.</w:t>
      </w:r>
    </w:p>
    <w:p w:rsidR="00B57C13" w:rsidRPr="007F6D77" w:rsidRDefault="00B57C13" w:rsidP="00B57C13">
      <w:pPr>
        <w:pStyle w:val="Paragraphedeliste"/>
        <w:spacing w:before="120" w:after="120"/>
        <w:ind w:left="1440"/>
        <w:contextualSpacing w:val="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 xml:space="preserve">Les valeurs républicaines, la </w:t>
      </w:r>
      <w:r w:rsidR="007F6D77" w:rsidRPr="007F6D77">
        <w:rPr>
          <w:sz w:val="24"/>
          <w:szCs w:val="24"/>
        </w:rPr>
        <w:t>laïcité</w:t>
      </w:r>
      <w:r w:rsidRPr="007F6D77">
        <w:rPr>
          <w:sz w:val="24"/>
          <w:szCs w:val="24"/>
        </w:rPr>
        <w:t xml:space="preserve">, la citoyenneté, la culture de l’engagement et la lutte contre toutes les formes de discrimination, au service d’une école inclusive et de l’accompagnement de chaque élève dans son propre domaine d’excellence, sont au </w:t>
      </w:r>
      <w:r w:rsidR="007F6D77" w:rsidRPr="007F6D77">
        <w:rPr>
          <w:sz w:val="24"/>
          <w:szCs w:val="24"/>
        </w:rPr>
        <w:t>cœur</w:t>
      </w:r>
      <w:r w:rsidRPr="007F6D77">
        <w:rPr>
          <w:sz w:val="24"/>
          <w:szCs w:val="24"/>
        </w:rPr>
        <w:t xml:space="preserve"> de la mission de tous ses agents.</w:t>
      </w:r>
    </w:p>
    <w:p w:rsidR="00B57C13" w:rsidRPr="007F6D77" w:rsidRDefault="00B57C13" w:rsidP="00B57C13">
      <w:pPr>
        <w:pStyle w:val="Paragraphedeliste"/>
        <w:spacing w:before="120" w:after="120"/>
        <w:ind w:left="1440"/>
        <w:contextualSpacing w:val="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>N’hésitez-pas à rejoindre la maison éducation nationale !</w:t>
      </w:r>
    </w:p>
    <w:p w:rsidR="00B57C13" w:rsidRPr="007F6D77" w:rsidRDefault="00B57C13" w:rsidP="00B57C13">
      <w:pPr>
        <w:pStyle w:val="Paragraphedeliste"/>
        <w:spacing w:before="120" w:after="120"/>
        <w:ind w:left="1440"/>
        <w:contextualSpacing w:val="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 xml:space="preserve">En savoir plus sur : </w:t>
      </w:r>
      <w:hyperlink r:id="rId9" w:history="1">
        <w:r w:rsidRPr="007F6D77">
          <w:rPr>
            <w:rStyle w:val="Lienhypertexte"/>
            <w:sz w:val="24"/>
            <w:szCs w:val="24"/>
          </w:rPr>
          <w:t>www.ac-dijon.fr</w:t>
        </w:r>
      </w:hyperlink>
      <w:r w:rsidRPr="007F6D77">
        <w:rPr>
          <w:sz w:val="24"/>
          <w:szCs w:val="24"/>
        </w:rPr>
        <w:t xml:space="preserve"> </w:t>
      </w:r>
    </w:p>
    <w:p w:rsidR="00B57C13" w:rsidRPr="007F6D77" w:rsidRDefault="00B57C13" w:rsidP="00B57C13">
      <w:pPr>
        <w:pStyle w:val="Paragraphedeliste"/>
        <w:spacing w:before="120" w:after="120"/>
        <w:ind w:left="1440"/>
        <w:contextualSpacing w:val="0"/>
        <w:jc w:val="both"/>
        <w:rPr>
          <w:sz w:val="24"/>
          <w:szCs w:val="24"/>
        </w:rPr>
      </w:pPr>
    </w:p>
    <w:p w:rsidR="00B57C13" w:rsidRPr="007F6D77" w:rsidRDefault="00B57C13" w:rsidP="00B57C13">
      <w:pPr>
        <w:pStyle w:val="Paragraphedeliste"/>
        <w:numPr>
          <w:ilvl w:val="1"/>
          <w:numId w:val="3"/>
        </w:numPr>
        <w:spacing w:before="120"/>
        <w:ind w:left="1434" w:hanging="357"/>
        <w:rPr>
          <w:sz w:val="24"/>
          <w:szCs w:val="24"/>
        </w:rPr>
      </w:pPr>
      <w:r w:rsidRPr="007F6D77">
        <w:rPr>
          <w:sz w:val="24"/>
          <w:szCs w:val="24"/>
          <w:u w:val="single"/>
        </w:rPr>
        <w:t>Le descriptif général du service d’emploi</w:t>
      </w:r>
      <w:r w:rsidRPr="007F6D77">
        <w:rPr>
          <w:sz w:val="24"/>
          <w:szCs w:val="24"/>
        </w:rPr>
        <w:t> :</w:t>
      </w:r>
    </w:p>
    <w:p w:rsidR="004E290A" w:rsidRPr="007F6D77" w:rsidRDefault="004E290A" w:rsidP="004E290A">
      <w:pPr>
        <w:spacing w:before="120" w:after="120"/>
        <w:ind w:left="360"/>
        <w:jc w:val="both"/>
        <w:rPr>
          <w:sz w:val="24"/>
          <w:szCs w:val="24"/>
        </w:rPr>
      </w:pPr>
      <w:r w:rsidRPr="007F6D77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228789</wp:posOffset>
            </wp:positionH>
            <wp:positionV relativeFrom="paragraph">
              <wp:posOffset>-2145</wp:posOffset>
            </wp:positionV>
            <wp:extent cx="3514725" cy="1295400"/>
            <wp:effectExtent l="19050" t="19050" r="28575" b="19050"/>
            <wp:wrapTight wrapText="bothSides">
              <wp:wrapPolygon edited="0">
                <wp:start x="-117" y="-318"/>
                <wp:lineTo x="-117" y="21600"/>
                <wp:lineTo x="21659" y="21600"/>
                <wp:lineTo x="21659" y="-318"/>
                <wp:lineTo x="-117" y="-318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SDEN5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7F6D77">
        <w:rPr>
          <w:b/>
          <w:sz w:val="24"/>
          <w:szCs w:val="24"/>
        </w:rPr>
        <w:t>La Direction des services départementaux de l’éducation nationale (DSDEN) de la Nièvre</w:t>
      </w:r>
      <w:r w:rsidRPr="007F6D77">
        <w:rPr>
          <w:sz w:val="24"/>
          <w:szCs w:val="24"/>
        </w:rPr>
        <w:t xml:space="preserve"> est placée sous la responsabilité de </w:t>
      </w:r>
      <w:r w:rsidR="00E928CB">
        <w:rPr>
          <w:sz w:val="24"/>
          <w:szCs w:val="24"/>
        </w:rPr>
        <w:t xml:space="preserve">l’inspectrice d’académie - </w:t>
      </w:r>
      <w:r w:rsidRPr="007F6D77">
        <w:rPr>
          <w:sz w:val="24"/>
          <w:szCs w:val="24"/>
        </w:rPr>
        <w:t>directrice académique des services de l’éducation nationale (</w:t>
      </w:r>
      <w:r w:rsidR="00E928CB">
        <w:rPr>
          <w:sz w:val="24"/>
          <w:szCs w:val="24"/>
        </w:rPr>
        <w:t xml:space="preserve">IA - </w:t>
      </w:r>
      <w:r w:rsidRPr="007F6D77">
        <w:rPr>
          <w:sz w:val="24"/>
          <w:szCs w:val="24"/>
        </w:rPr>
        <w:t>DASEN). L</w:t>
      </w:r>
      <w:r w:rsidR="00E928CB">
        <w:rPr>
          <w:sz w:val="24"/>
          <w:szCs w:val="24"/>
        </w:rPr>
        <w:t xml:space="preserve">’IA - </w:t>
      </w:r>
      <w:r w:rsidRPr="007F6D77">
        <w:rPr>
          <w:sz w:val="24"/>
          <w:szCs w:val="24"/>
        </w:rPr>
        <w:t>DASEN représente le recteur au niveau départemental et est plus particulièrement responsable des établissements scolaires de la maternelle à la sortie du lycée.</w:t>
      </w:r>
    </w:p>
    <w:p w:rsidR="004E290A" w:rsidRPr="007F6D77" w:rsidRDefault="004E290A" w:rsidP="004E290A">
      <w:pPr>
        <w:spacing w:before="120" w:after="120"/>
        <w:ind w:left="360"/>
        <w:jc w:val="both"/>
        <w:rPr>
          <w:sz w:val="24"/>
          <w:szCs w:val="24"/>
        </w:rPr>
      </w:pPr>
      <w:r w:rsidRPr="007F6D77">
        <w:rPr>
          <w:sz w:val="24"/>
          <w:szCs w:val="24"/>
        </w:rPr>
        <w:t xml:space="preserve">Retrouvez la présentation et l’organisation de la DSDEN 58 sur le site du Rectorat → </w:t>
      </w:r>
      <w:hyperlink r:id="rId11" w:history="1">
        <w:r w:rsidRPr="007F6D77">
          <w:rPr>
            <w:rStyle w:val="Lienhypertexte"/>
            <w:sz w:val="24"/>
            <w:szCs w:val="24"/>
          </w:rPr>
          <w:t>https://www.ac-dijon.fr/presentation-de-la-dsden-58-122329</w:t>
        </w:r>
      </w:hyperlink>
      <w:r w:rsidRPr="007F6D77">
        <w:rPr>
          <w:sz w:val="24"/>
          <w:szCs w:val="24"/>
        </w:rPr>
        <w:t xml:space="preserve"> </w:t>
      </w:r>
    </w:p>
    <w:p w:rsidR="007F6D77" w:rsidRDefault="007F6D77" w:rsidP="004E290A">
      <w:pPr>
        <w:pStyle w:val="NormalWeb"/>
        <w:jc w:val="both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</w:p>
    <w:p w:rsidR="007F6D77" w:rsidRDefault="007F6D77" w:rsidP="004E290A">
      <w:pPr>
        <w:pStyle w:val="NormalWeb"/>
        <w:jc w:val="both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  <w:r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  <w:t>Le projet « Nièvre terre des ambitions » en quelques mots :</w:t>
      </w:r>
    </w:p>
    <w:p w:rsidR="00AC62AC" w:rsidRDefault="00AC62AC" w:rsidP="00AC62AC">
      <w:pPr>
        <w:pStyle w:val="NormalWeb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AC62AC">
        <w:rPr>
          <w:rFonts w:asciiTheme="minorHAnsi" w:eastAsiaTheme="minorHAnsi" w:hAnsiTheme="minorHAnsi" w:cstheme="minorBidi"/>
          <w:lang w:eastAsia="en-US"/>
        </w:rPr>
        <w:t>La Nièvre, territoire éloigné qui pose à l’École un défi spécifi</w:t>
      </w:r>
      <w:r>
        <w:rPr>
          <w:rFonts w:asciiTheme="minorHAnsi" w:eastAsiaTheme="minorHAnsi" w:hAnsiTheme="minorHAnsi" w:cstheme="minorBidi"/>
          <w:lang w:eastAsia="en-US"/>
        </w:rPr>
        <w:t xml:space="preserve">que du fait de ses singularités </w:t>
      </w:r>
      <w:r w:rsidRPr="00AC62AC">
        <w:rPr>
          <w:rFonts w:asciiTheme="minorHAnsi" w:eastAsiaTheme="minorHAnsi" w:hAnsiTheme="minorHAnsi" w:cstheme="minorBidi"/>
          <w:lang w:eastAsia="en-US"/>
        </w:rPr>
        <w:t>(dispersion de l’habitat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AC62AC">
        <w:rPr>
          <w:rFonts w:asciiTheme="minorHAnsi" w:eastAsiaTheme="minorHAnsi" w:hAnsiTheme="minorHAnsi" w:cstheme="minorBidi"/>
          <w:lang w:eastAsia="en-US"/>
        </w:rPr>
        <w:t>et des équipements publics, éloignement des opportunités de poursuite d’études, difficultés de formation adaptées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AC62AC">
        <w:rPr>
          <w:rFonts w:asciiTheme="minorHAnsi" w:eastAsiaTheme="minorHAnsi" w:hAnsiTheme="minorHAnsi" w:cstheme="minorBidi"/>
          <w:lang w:eastAsia="en-US"/>
        </w:rPr>
        <w:t>à l’offre)</w:t>
      </w:r>
      <w:r>
        <w:rPr>
          <w:rFonts w:asciiTheme="minorHAnsi" w:eastAsiaTheme="minorHAnsi" w:hAnsiTheme="minorHAnsi" w:cstheme="minorBidi"/>
          <w:lang w:eastAsia="en-US"/>
        </w:rPr>
        <w:t xml:space="preserve">, importante déprise </w:t>
      </w:r>
      <w:r w:rsidRPr="00AC62AC">
        <w:rPr>
          <w:rFonts w:asciiTheme="minorHAnsi" w:eastAsiaTheme="minorHAnsi" w:hAnsiTheme="minorHAnsi" w:cstheme="minorBidi"/>
          <w:lang w:eastAsia="en-US"/>
        </w:rPr>
        <w:t>démographique, difficultés économiques, problèmes de mobilité), appelle de la part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AC62AC">
        <w:rPr>
          <w:rFonts w:asciiTheme="minorHAnsi" w:eastAsiaTheme="minorHAnsi" w:hAnsiTheme="minorHAnsi" w:cstheme="minorBidi"/>
          <w:lang w:eastAsia="en-US"/>
        </w:rPr>
        <w:t>de l’institution scolaire une réponse globale et cohérente, construite avec les acteurs locaux.</w:t>
      </w:r>
    </w:p>
    <w:p w:rsidR="00AC62AC" w:rsidRDefault="00AC62AC" w:rsidP="00AC62AC">
      <w:pPr>
        <w:pStyle w:val="Normal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En réponse</w:t>
      </w:r>
      <w:r w:rsidR="000C7324">
        <w:rPr>
          <w:rFonts w:asciiTheme="minorHAnsi" w:eastAsiaTheme="minorHAnsi" w:hAnsiTheme="minorHAnsi" w:cstheme="minorBidi"/>
          <w:lang w:eastAsia="en-US"/>
        </w:rPr>
        <w:t xml:space="preserve"> aux préoccupations des élus du territoire nivernais, et dans une démarche volontariste, l’académie de Dijon propose de développer un plan d’actions</w:t>
      </w:r>
      <w:r w:rsidR="003063AC">
        <w:rPr>
          <w:rFonts w:asciiTheme="minorHAnsi" w:eastAsiaTheme="minorHAnsi" w:hAnsiTheme="minorHAnsi" w:cstheme="minorBidi"/>
          <w:lang w:eastAsia="en-US"/>
        </w:rPr>
        <w:t>, « Nièvre terre des ambitions »</w:t>
      </w:r>
      <w:r w:rsidR="000C7324">
        <w:rPr>
          <w:rFonts w:asciiTheme="minorHAnsi" w:eastAsiaTheme="minorHAnsi" w:hAnsiTheme="minorHAnsi" w:cstheme="minorBidi"/>
          <w:lang w:eastAsia="en-US"/>
        </w:rPr>
        <w:t xml:space="preserve"> défini en 3 axes :</w:t>
      </w:r>
    </w:p>
    <w:p w:rsidR="000C7324" w:rsidRDefault="000C7324" w:rsidP="000C7324">
      <w:pPr>
        <w:pStyle w:val="NormalWeb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Un maillage territorial renforcé par des alliances éducatives innovantes : les territoires éducatifs ruraux (TER) pour développer l’ambition scolaire et la mobilité des jeunes dans les zones rurales et éloignées,</w:t>
      </w:r>
    </w:p>
    <w:p w:rsidR="000C7324" w:rsidRDefault="000C7324" w:rsidP="000C7324">
      <w:pPr>
        <w:pStyle w:val="NormalWeb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Une élaboration et une mise en œuvre renouvelées des politiques publiques éducatives : une démarche diagnostique et prospective fondée sur des analyses </w:t>
      </w:r>
      <w:r>
        <w:rPr>
          <w:rFonts w:asciiTheme="minorHAnsi" w:eastAsiaTheme="minorHAnsi" w:hAnsiTheme="minorHAnsi" w:cstheme="minorBidi"/>
          <w:lang w:eastAsia="en-US"/>
        </w:rPr>
        <w:lastRenderedPageBreak/>
        <w:t>statistiques des évolutions des effectifs scolarisés partagées avec les acteurs du territoire,</w:t>
      </w:r>
    </w:p>
    <w:p w:rsidR="000C7324" w:rsidRPr="007F6D77" w:rsidRDefault="000C7324" w:rsidP="000C7324">
      <w:pPr>
        <w:pStyle w:val="NormalWeb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 construction de synergies avec les acteurs locaux pour promouvoir l’attractivité des métiers de l’éducation nationale et des territoires dans une vraie démarche de marketing territorial.</w:t>
      </w:r>
    </w:p>
    <w:p w:rsidR="003063AC" w:rsidRDefault="003063AC" w:rsidP="00B047C9">
      <w:pPr>
        <w:spacing w:before="120" w:after="120"/>
        <w:jc w:val="both"/>
        <w:rPr>
          <w:b/>
          <w:sz w:val="28"/>
          <w:szCs w:val="26"/>
          <w:u w:val="single"/>
        </w:rPr>
      </w:pPr>
    </w:p>
    <w:p w:rsidR="00B047C9" w:rsidRPr="003063AC" w:rsidRDefault="00B047C9" w:rsidP="00B047C9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3063AC">
        <w:rPr>
          <w:rFonts w:cstheme="minorHAnsi"/>
          <w:b/>
          <w:sz w:val="24"/>
          <w:szCs w:val="24"/>
          <w:u w:val="single"/>
        </w:rPr>
        <w:t>Le</w:t>
      </w:r>
      <w:r w:rsidR="003063AC" w:rsidRPr="003063AC">
        <w:rPr>
          <w:rFonts w:cstheme="minorHAnsi"/>
          <w:b/>
          <w:sz w:val="24"/>
          <w:szCs w:val="24"/>
          <w:u w:val="single"/>
        </w:rPr>
        <w:t xml:space="preserve">s missions et activités </w:t>
      </w:r>
      <w:r w:rsidRPr="003063AC">
        <w:rPr>
          <w:rFonts w:cstheme="minorHAnsi"/>
          <w:b/>
          <w:sz w:val="24"/>
          <w:szCs w:val="24"/>
        </w:rPr>
        <w:t>:</w:t>
      </w:r>
    </w:p>
    <w:p w:rsidR="003063AC" w:rsidRPr="003063AC" w:rsidRDefault="003063AC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3063AC">
        <w:rPr>
          <w:rFonts w:eastAsiaTheme="minorEastAsia" w:cstheme="minorHAnsi"/>
          <w:b/>
          <w:bCs/>
          <w:sz w:val="24"/>
          <w:szCs w:val="24"/>
          <w:u w:val="single"/>
        </w:rPr>
        <w:t>Coordination opérationnelle de l’expérimentation Nièvre Terre des ambitions</w:t>
      </w:r>
    </w:p>
    <w:p w:rsidR="003063AC" w:rsidRPr="003063AC" w:rsidRDefault="003063AC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Piloter la réalisation des projets et rendre compte au comité de pilotage, sous l’autorité de l</w:t>
      </w:r>
      <w:r w:rsidR="00E928CB">
        <w:rPr>
          <w:rFonts w:eastAsiaTheme="minorEastAsia" w:cstheme="minorHAnsi"/>
          <w:sz w:val="24"/>
          <w:szCs w:val="24"/>
        </w:rPr>
        <w:t>’IA -</w:t>
      </w:r>
      <w:r w:rsidRPr="003063AC">
        <w:rPr>
          <w:rFonts w:eastAsiaTheme="minorEastAsia" w:cstheme="minorHAnsi"/>
          <w:sz w:val="24"/>
          <w:szCs w:val="24"/>
        </w:rPr>
        <w:t xml:space="preserve"> DASEN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Être</w:t>
      </w:r>
      <w:r w:rsidR="003063AC" w:rsidRPr="003063AC">
        <w:rPr>
          <w:rFonts w:eastAsiaTheme="minorEastAsia" w:cstheme="minorHAnsi"/>
          <w:sz w:val="24"/>
          <w:szCs w:val="24"/>
        </w:rPr>
        <w:t xml:space="preserve"> membre de toutes les instances de gouvernance de ce projet expérimental et assurer le lien entre elles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Faciliter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la complémentarité et la cohérence des actions mises en place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Soutenir</w:t>
      </w:r>
      <w:r w:rsidR="003063AC" w:rsidRPr="003063AC">
        <w:rPr>
          <w:rFonts w:eastAsiaTheme="minorEastAsia" w:cstheme="minorHAnsi"/>
          <w:sz w:val="24"/>
          <w:szCs w:val="24"/>
        </w:rPr>
        <w:t xml:space="preserve"> l’organisation liée à la gouvernance de l’expérimentation (préparation matérielle, documents préparatoires, comptes rendus),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Participer</w:t>
      </w:r>
      <w:r w:rsidR="003063AC" w:rsidRPr="003063AC">
        <w:rPr>
          <w:rFonts w:eastAsiaTheme="minorEastAsia" w:cstheme="minorHAnsi"/>
          <w:sz w:val="24"/>
          <w:szCs w:val="24"/>
        </w:rPr>
        <w:t xml:space="preserve"> aux instances de réflexion ou de pilotage des dispositifs partenaires de cette expérimentation (ex : sous-préfète de Château-Chinon chargée du dossier Ruralité, CAF, MSA, conseil départemental etc.) et travailler en lien avec les coordonnateurs de ces instances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Rechercher</w:t>
      </w:r>
      <w:r w:rsidR="003063AC" w:rsidRPr="003063AC">
        <w:rPr>
          <w:rFonts w:eastAsiaTheme="minorEastAsia" w:cstheme="minorHAnsi"/>
          <w:sz w:val="24"/>
          <w:szCs w:val="24"/>
        </w:rPr>
        <w:t xml:space="preserve"> toute complémentarité pertinente des différents dispositifs et favoriser ces partenariats. </w:t>
      </w:r>
    </w:p>
    <w:p w:rsidR="003063AC" w:rsidRPr="003063AC" w:rsidRDefault="003063AC" w:rsidP="003063AC">
      <w:pPr>
        <w:jc w:val="both"/>
        <w:rPr>
          <w:rFonts w:cstheme="minorHAnsi"/>
          <w:sz w:val="24"/>
          <w:szCs w:val="24"/>
        </w:rPr>
      </w:pPr>
    </w:p>
    <w:p w:rsidR="003063AC" w:rsidRPr="003063AC" w:rsidRDefault="003063AC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3063AC">
        <w:rPr>
          <w:rFonts w:eastAsiaTheme="minorEastAsia" w:cstheme="minorHAnsi"/>
          <w:b/>
          <w:bCs/>
          <w:sz w:val="24"/>
          <w:szCs w:val="24"/>
          <w:u w:val="single"/>
        </w:rPr>
        <w:t>Animation du dispositif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Animer</w:t>
      </w:r>
      <w:r w:rsidR="003063AC" w:rsidRPr="003063AC">
        <w:rPr>
          <w:rFonts w:eastAsiaTheme="minorEastAsia" w:cstheme="minorHAnsi"/>
          <w:sz w:val="24"/>
          <w:szCs w:val="24"/>
        </w:rPr>
        <w:t xml:space="preserve"> et fédérer un réseau d’acteurs et initier la réflexion collective dans le cadre de la mise en œuvre d’actions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Créer</w:t>
      </w:r>
      <w:r w:rsidR="003063AC" w:rsidRPr="003063AC">
        <w:rPr>
          <w:rFonts w:eastAsiaTheme="minorEastAsia" w:cstheme="minorHAnsi"/>
          <w:sz w:val="24"/>
          <w:szCs w:val="24"/>
        </w:rPr>
        <w:t xml:space="preserve"> des outils et des ressources et/ou favoriser la mutualisation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Mobiliser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les acteurs nécessaires au bon fonctionnement de cette expérimentation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Impulser</w:t>
      </w:r>
      <w:r w:rsidR="003063AC" w:rsidRPr="003063AC">
        <w:rPr>
          <w:rFonts w:eastAsiaTheme="minorEastAsia" w:cstheme="minorHAnsi"/>
          <w:sz w:val="24"/>
          <w:szCs w:val="24"/>
        </w:rPr>
        <w:t xml:space="preserve"> et favoriser la mise en œuvre des actions décidées en comité de pilotage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Recueillir</w:t>
      </w:r>
      <w:r w:rsidR="003063AC" w:rsidRPr="003063AC">
        <w:rPr>
          <w:rFonts w:eastAsiaTheme="minorEastAsia" w:cstheme="minorHAnsi"/>
          <w:sz w:val="24"/>
          <w:szCs w:val="24"/>
        </w:rPr>
        <w:t xml:space="preserve"> ou identifier les besoins des jeunes, familles, professionnels etc.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S’assurer</w:t>
      </w:r>
      <w:r w:rsidR="003063AC" w:rsidRPr="003063AC">
        <w:rPr>
          <w:rFonts w:eastAsiaTheme="minorEastAsia" w:cstheme="minorHAnsi"/>
          <w:sz w:val="24"/>
          <w:szCs w:val="24"/>
        </w:rPr>
        <w:t xml:space="preserve"> que les actions mises en œuvre soient en adéquation avec les besoins du territoire et les objectifs de cette expérimentation</w:t>
      </w:r>
      <w:r w:rsidR="003063AC">
        <w:rPr>
          <w:rFonts w:eastAsiaTheme="minorEastAsia" w:cstheme="minorHAnsi"/>
          <w:sz w:val="24"/>
          <w:szCs w:val="24"/>
        </w:rPr>
        <w:t>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Associer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les bénéficiaires à la réflexion autour des actions (habitants, parents d’élèves, jeunes,</w:t>
      </w:r>
      <w:r>
        <w:rPr>
          <w:rFonts w:eastAsiaTheme="minorEastAsia" w:cstheme="minorHAnsi"/>
          <w:sz w:val="24"/>
          <w:szCs w:val="24"/>
        </w:rPr>
        <w:t xml:space="preserve"> </w:t>
      </w:r>
      <w:r w:rsidR="003063AC" w:rsidRPr="003063AC">
        <w:rPr>
          <w:rFonts w:eastAsiaTheme="minorEastAsia" w:cstheme="minorHAnsi"/>
          <w:sz w:val="24"/>
          <w:szCs w:val="24"/>
        </w:rPr>
        <w:t>…)</w:t>
      </w:r>
      <w:r w:rsidR="003063AC">
        <w:rPr>
          <w:rFonts w:eastAsiaTheme="minorEastAsia" w:cstheme="minorHAnsi"/>
          <w:sz w:val="24"/>
          <w:szCs w:val="24"/>
        </w:rPr>
        <w:t> ;</w:t>
      </w:r>
    </w:p>
    <w:p w:rsidR="003063AC" w:rsidRPr="003063AC" w:rsidRDefault="00E928CB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Intégrer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les instances de démocratie participative des différents </w:t>
      </w:r>
      <w:r w:rsidR="002A70AA">
        <w:rPr>
          <w:rFonts w:eastAsiaTheme="minorEastAsia" w:cstheme="minorHAnsi"/>
          <w:sz w:val="24"/>
          <w:szCs w:val="24"/>
        </w:rPr>
        <w:t>t</w:t>
      </w:r>
      <w:r w:rsidR="003063AC" w:rsidRPr="003063AC">
        <w:rPr>
          <w:rFonts w:eastAsiaTheme="minorEastAsia" w:cstheme="minorHAnsi"/>
          <w:sz w:val="24"/>
          <w:szCs w:val="24"/>
        </w:rPr>
        <w:t>erritoires éducatifs ruraux en lien avec les coordonnateurs de ces secteurs.</w:t>
      </w:r>
    </w:p>
    <w:p w:rsidR="003063AC" w:rsidRPr="003063AC" w:rsidRDefault="003063AC" w:rsidP="003063AC">
      <w:pPr>
        <w:jc w:val="both"/>
        <w:rPr>
          <w:rFonts w:cstheme="minorHAnsi"/>
          <w:sz w:val="24"/>
          <w:szCs w:val="24"/>
        </w:rPr>
      </w:pPr>
    </w:p>
    <w:p w:rsidR="003063AC" w:rsidRPr="003063AC" w:rsidRDefault="003063AC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3063AC">
        <w:rPr>
          <w:rFonts w:eastAsiaTheme="minorEastAsia" w:cstheme="minorHAnsi"/>
          <w:b/>
          <w:bCs/>
          <w:sz w:val="24"/>
          <w:szCs w:val="24"/>
          <w:u w:val="single"/>
        </w:rPr>
        <w:t>Communication de cette expérimentation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Formaliser</w:t>
      </w:r>
      <w:r w:rsidR="003063AC" w:rsidRPr="003063AC">
        <w:rPr>
          <w:rFonts w:eastAsiaTheme="minorEastAsia" w:cstheme="minorHAnsi"/>
          <w:sz w:val="24"/>
          <w:szCs w:val="24"/>
        </w:rPr>
        <w:t xml:space="preserve"> une cartographie des ressources du territoire et la mettre à disposition de l’ensemble des acteurs ;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Contribuer</w:t>
      </w:r>
      <w:r w:rsidR="003063AC" w:rsidRPr="003063AC">
        <w:rPr>
          <w:rFonts w:eastAsiaTheme="minorEastAsia" w:cstheme="minorHAnsi"/>
          <w:sz w:val="24"/>
          <w:szCs w:val="24"/>
        </w:rPr>
        <w:t xml:space="preserve"> à la communication de cette expérimentation (mise à jour des données, avancées, réalisations, …) ;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lastRenderedPageBreak/>
        <w:t>Valoriser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les actions de cette expérimentation dans le cadre d’une stratégie de communication adaptée aux différentes composantes des partenaires et du grand public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Assurer</w:t>
      </w:r>
      <w:r w:rsidR="003063AC" w:rsidRPr="003063AC">
        <w:rPr>
          <w:rFonts w:eastAsiaTheme="minorEastAsia" w:cstheme="minorHAnsi"/>
          <w:sz w:val="24"/>
          <w:szCs w:val="24"/>
        </w:rPr>
        <w:t xml:space="preserve"> une veille juridique et informationnelle utile à l’ensemble du territoire,</w:t>
      </w:r>
    </w:p>
    <w:p w:rsidR="003063AC" w:rsidRPr="003063AC" w:rsidRDefault="003063AC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</w:p>
    <w:p w:rsidR="00E33F45" w:rsidRDefault="00E33F45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</w:p>
    <w:p w:rsidR="003063AC" w:rsidRPr="003063AC" w:rsidRDefault="003063AC" w:rsidP="003063AC">
      <w:pPr>
        <w:autoSpaceDE w:val="0"/>
        <w:autoSpaceDN w:val="0"/>
        <w:adjustRightInd w:val="0"/>
        <w:jc w:val="both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3063AC">
        <w:rPr>
          <w:rFonts w:eastAsiaTheme="minorEastAsia" w:cstheme="minorHAnsi"/>
          <w:b/>
          <w:bCs/>
          <w:sz w:val="24"/>
          <w:szCs w:val="24"/>
          <w:u w:val="single"/>
        </w:rPr>
        <w:t>Évaluation des actions et du dispositif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Élaborer</w:t>
      </w:r>
      <w:r w:rsidR="003063AC" w:rsidRPr="003063AC">
        <w:rPr>
          <w:rFonts w:eastAsiaTheme="minorEastAsia" w:cstheme="minorHAnsi"/>
          <w:sz w:val="24"/>
          <w:szCs w:val="24"/>
        </w:rPr>
        <w:t xml:space="preserve"> et suivre le tableau de bord de l’expérimentation ;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Préparer</w:t>
      </w:r>
      <w:r w:rsidR="003063AC" w:rsidRPr="003063AC">
        <w:rPr>
          <w:rFonts w:eastAsiaTheme="minorEastAsia" w:cstheme="minorHAnsi"/>
          <w:sz w:val="24"/>
          <w:szCs w:val="24"/>
        </w:rPr>
        <w:t xml:space="preserve"> la revue annuelle de projet ;</w:t>
      </w:r>
    </w:p>
    <w:p w:rsidR="003063AC" w:rsidRPr="003063AC" w:rsidRDefault="002A70AA" w:rsidP="003063A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63AC">
        <w:rPr>
          <w:rFonts w:eastAsiaTheme="minorEastAsia" w:cstheme="minorHAnsi"/>
          <w:sz w:val="24"/>
          <w:szCs w:val="24"/>
        </w:rPr>
        <w:t>Suivre</w:t>
      </w:r>
      <w:r w:rsidR="003063AC" w:rsidRPr="003063AC">
        <w:rPr>
          <w:rFonts w:eastAsiaTheme="minorEastAsia" w:cstheme="minorHAnsi"/>
          <w:sz w:val="24"/>
          <w:szCs w:val="24"/>
        </w:rPr>
        <w:t xml:space="preserve"> la complémentarité des différents financement</w:t>
      </w:r>
      <w:r w:rsidR="003063AC">
        <w:rPr>
          <w:rFonts w:eastAsiaTheme="minorEastAsia" w:cstheme="minorHAnsi"/>
          <w:sz w:val="24"/>
          <w:szCs w:val="24"/>
        </w:rPr>
        <w:t>s et en assurer la transparence.</w:t>
      </w:r>
    </w:p>
    <w:p w:rsidR="004E290A" w:rsidRPr="004E290A" w:rsidRDefault="004E290A" w:rsidP="00C740F4">
      <w:pPr>
        <w:pStyle w:val="Paragraphedeliste"/>
        <w:spacing w:before="120" w:after="120"/>
        <w:jc w:val="both"/>
        <w:rPr>
          <w:sz w:val="26"/>
          <w:szCs w:val="26"/>
        </w:rPr>
      </w:pPr>
    </w:p>
    <w:p w:rsidR="009D24FB" w:rsidRPr="00A137E8" w:rsidRDefault="009D24FB" w:rsidP="004E290A">
      <w:pPr>
        <w:spacing w:before="120" w:after="120"/>
        <w:jc w:val="both"/>
        <w:rPr>
          <w:b/>
          <w:sz w:val="24"/>
          <w:szCs w:val="24"/>
        </w:rPr>
      </w:pPr>
      <w:r w:rsidRPr="00A137E8">
        <w:rPr>
          <w:b/>
          <w:sz w:val="24"/>
          <w:szCs w:val="24"/>
          <w:u w:val="single"/>
        </w:rPr>
        <w:t>Le profil recherché</w:t>
      </w:r>
      <w:r w:rsidRPr="00A137E8">
        <w:rPr>
          <w:b/>
          <w:sz w:val="24"/>
          <w:szCs w:val="24"/>
        </w:rPr>
        <w:t> :</w:t>
      </w:r>
    </w:p>
    <w:p w:rsidR="009D24FB" w:rsidRPr="00A137E8" w:rsidRDefault="009D24FB" w:rsidP="00031DB4">
      <w:pPr>
        <w:pStyle w:val="Paragraphedeliste"/>
        <w:spacing w:before="120" w:after="120"/>
        <w:jc w:val="both"/>
        <w:rPr>
          <w:sz w:val="24"/>
          <w:szCs w:val="24"/>
        </w:rPr>
      </w:pPr>
    </w:p>
    <w:p w:rsidR="009D24FB" w:rsidRPr="00A137E8" w:rsidRDefault="009D24FB" w:rsidP="00031DB4">
      <w:pPr>
        <w:pStyle w:val="Paragraphedeliste"/>
        <w:spacing w:before="120" w:after="120"/>
        <w:jc w:val="both"/>
        <w:rPr>
          <w:sz w:val="24"/>
          <w:szCs w:val="24"/>
        </w:rPr>
      </w:pPr>
      <w:r w:rsidRPr="00A137E8">
        <w:rPr>
          <w:sz w:val="24"/>
          <w:szCs w:val="24"/>
          <w:u w:val="single"/>
        </w:rPr>
        <w:t>Connaissances</w:t>
      </w:r>
      <w:r w:rsidRPr="00A137E8">
        <w:rPr>
          <w:sz w:val="24"/>
          <w:szCs w:val="24"/>
        </w:rPr>
        <w:t> :</w:t>
      </w:r>
    </w:p>
    <w:p w:rsidR="00A137E8" w:rsidRP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Conduite et gestion de projet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A137E8" w:rsidRP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Culture pluridisciplinaire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A137E8" w:rsidRP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Environnement administratif, institutionnel et politique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A137E8" w:rsidRP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Environnement professionnel du domaine d'activité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Management/Pilotage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E33F45" w:rsidRPr="00A137E8" w:rsidRDefault="00E33F45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Solide connaissance des techniques et outils numériques de communication ; </w:t>
      </w:r>
    </w:p>
    <w:p w:rsidR="00A137E8" w:rsidRPr="00A137E8" w:rsidRDefault="00A137E8" w:rsidP="00A1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137E8">
        <w:rPr>
          <w:rFonts w:eastAsia="Times New Roman" w:cstheme="minorHAnsi"/>
          <w:sz w:val="24"/>
          <w:szCs w:val="24"/>
          <w:lang w:eastAsia="fr-FR"/>
        </w:rPr>
        <w:t>Organisation, méthode et processus</w:t>
      </w:r>
      <w:r w:rsidR="00E33F45">
        <w:rPr>
          <w:rFonts w:eastAsia="Times New Roman" w:cstheme="minorHAnsi"/>
          <w:sz w:val="24"/>
          <w:szCs w:val="24"/>
          <w:lang w:eastAsia="fr-FR"/>
        </w:rPr>
        <w:t>.</w:t>
      </w:r>
    </w:p>
    <w:p w:rsidR="009F63D6" w:rsidRDefault="009F63D6" w:rsidP="009F63D6">
      <w:pPr>
        <w:pStyle w:val="Paragraphedeliste"/>
        <w:spacing w:before="120" w:after="120"/>
        <w:jc w:val="both"/>
        <w:rPr>
          <w:sz w:val="26"/>
          <w:szCs w:val="26"/>
        </w:rPr>
      </w:pPr>
    </w:p>
    <w:p w:rsidR="009F63D6" w:rsidRPr="00E33F45" w:rsidRDefault="009F63D6" w:rsidP="009F63D6">
      <w:pPr>
        <w:pStyle w:val="Paragraphedeliste"/>
        <w:spacing w:before="120" w:after="120"/>
        <w:jc w:val="both"/>
        <w:rPr>
          <w:sz w:val="24"/>
          <w:szCs w:val="26"/>
        </w:rPr>
      </w:pPr>
      <w:r w:rsidRPr="00E33F45">
        <w:rPr>
          <w:sz w:val="24"/>
          <w:szCs w:val="26"/>
          <w:u w:val="single"/>
        </w:rPr>
        <w:t>Savoir-faire</w:t>
      </w:r>
      <w:r w:rsidRPr="00E33F45">
        <w:rPr>
          <w:sz w:val="24"/>
          <w:szCs w:val="26"/>
        </w:rPr>
        <w:t> :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Accompagner / Conduire un changement, une réforme, un dispositif</w:t>
      </w:r>
      <w:r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Analyser une donnée, une situation, un dispositif, un projet, une démarche, un besoin, un comportement, un risque</w:t>
      </w:r>
      <w:r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Coordonner</w:t>
      </w:r>
      <w:r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Pr="00E33F45" w:rsidRDefault="002A70AA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É</w:t>
      </w:r>
      <w:r w:rsidR="00E33F45" w:rsidRPr="00E33F45">
        <w:rPr>
          <w:rFonts w:eastAsia="Times New Roman" w:cstheme="minorHAnsi"/>
          <w:sz w:val="24"/>
          <w:szCs w:val="24"/>
          <w:lang w:eastAsia="fr-FR"/>
        </w:rPr>
        <w:t>valuer / Expertiser / Auditer</w:t>
      </w:r>
      <w:r w:rsidR="00E33F45"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Communiquer,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Négocier</w:t>
      </w:r>
      <w:r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Piloter une activité, une réunion, une étude, une recherche, la performance</w:t>
      </w:r>
      <w:r>
        <w:rPr>
          <w:rFonts w:eastAsia="Times New Roman" w:cstheme="minorHAnsi"/>
          <w:sz w:val="24"/>
          <w:szCs w:val="24"/>
          <w:lang w:eastAsia="fr-FR"/>
        </w:rPr>
        <w:t>,</w:t>
      </w:r>
    </w:p>
    <w:p w:rsid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Travailler en mode projet</w:t>
      </w:r>
      <w:r w:rsidR="002A70AA">
        <w:rPr>
          <w:rFonts w:eastAsia="Times New Roman" w:cstheme="minorHAnsi"/>
          <w:sz w:val="24"/>
          <w:szCs w:val="24"/>
          <w:lang w:eastAsia="fr-FR"/>
        </w:rPr>
        <w:t> ?</w:t>
      </w:r>
    </w:p>
    <w:p w:rsidR="002A70AA" w:rsidRPr="0029247F" w:rsidRDefault="002A70AA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29247F">
        <w:rPr>
          <w:rFonts w:eastAsia="Times New Roman" w:cstheme="minorHAnsi"/>
          <w:color w:val="000000" w:themeColor="text1"/>
          <w:sz w:val="24"/>
          <w:szCs w:val="24"/>
          <w:lang w:eastAsia="fr-FR"/>
        </w:rPr>
        <w:t>Maitriser parfaitement les outils bureautiques</w:t>
      </w:r>
    </w:p>
    <w:p w:rsidR="009F63D6" w:rsidRDefault="009F63D6" w:rsidP="009F63D6">
      <w:pPr>
        <w:pStyle w:val="Paragraphedeliste"/>
        <w:spacing w:before="120" w:after="120"/>
        <w:jc w:val="both"/>
        <w:rPr>
          <w:sz w:val="26"/>
          <w:szCs w:val="26"/>
        </w:rPr>
      </w:pPr>
    </w:p>
    <w:p w:rsidR="009F63D6" w:rsidRDefault="009F63D6" w:rsidP="009F63D6">
      <w:pPr>
        <w:pStyle w:val="Paragraphedeliste"/>
        <w:spacing w:before="120" w:after="120"/>
        <w:jc w:val="both"/>
        <w:rPr>
          <w:sz w:val="26"/>
          <w:szCs w:val="26"/>
        </w:rPr>
      </w:pPr>
      <w:r w:rsidRPr="009F63D6">
        <w:rPr>
          <w:sz w:val="26"/>
          <w:szCs w:val="26"/>
          <w:u w:val="single"/>
        </w:rPr>
        <w:t>Savoir-être</w:t>
      </w:r>
      <w:r>
        <w:rPr>
          <w:sz w:val="26"/>
          <w:szCs w:val="26"/>
        </w:rPr>
        <w:t> :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Sens de l'analyse</w:t>
      </w:r>
      <w:r>
        <w:rPr>
          <w:rFonts w:eastAsia="Times New Roman" w:cstheme="minorHAnsi"/>
          <w:sz w:val="24"/>
          <w:szCs w:val="24"/>
          <w:lang w:eastAsia="fr-FR"/>
        </w:rPr>
        <w:t> ;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Sens des relations humaines</w:t>
      </w:r>
      <w:r>
        <w:rPr>
          <w:rFonts w:eastAsia="Times New Roman" w:cstheme="minorHAnsi"/>
          <w:sz w:val="24"/>
          <w:szCs w:val="24"/>
          <w:lang w:eastAsia="fr-FR"/>
        </w:rPr>
        <w:t> ;</w:t>
      </w:r>
    </w:p>
    <w:p w:rsidR="00E33F45" w:rsidRPr="00E33F45" w:rsidRDefault="002A70AA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Ê</w:t>
      </w:r>
      <w:r w:rsidR="00E33F45" w:rsidRPr="00E33F45">
        <w:rPr>
          <w:rFonts w:eastAsia="Times New Roman" w:cstheme="minorHAnsi"/>
          <w:sz w:val="24"/>
          <w:szCs w:val="24"/>
          <w:lang w:eastAsia="fr-FR"/>
        </w:rPr>
        <w:t>tre à l'écoute</w:t>
      </w:r>
      <w:r w:rsidR="00E33F45">
        <w:rPr>
          <w:rFonts w:eastAsia="Times New Roman" w:cstheme="minorHAnsi"/>
          <w:sz w:val="24"/>
          <w:szCs w:val="24"/>
          <w:lang w:eastAsia="fr-FR"/>
        </w:rPr>
        <w:t> ;</w:t>
      </w:r>
    </w:p>
    <w:p w:rsidR="00E33F45" w:rsidRPr="00E33F45" w:rsidRDefault="00E33F45" w:rsidP="00E33F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3F45">
        <w:rPr>
          <w:rFonts w:eastAsia="Times New Roman" w:cstheme="minorHAnsi"/>
          <w:sz w:val="24"/>
          <w:szCs w:val="24"/>
          <w:lang w:eastAsia="fr-FR"/>
        </w:rPr>
        <w:t>Réactivité</w:t>
      </w:r>
      <w:r>
        <w:rPr>
          <w:rFonts w:eastAsia="Times New Roman" w:cstheme="minorHAnsi"/>
          <w:sz w:val="24"/>
          <w:szCs w:val="24"/>
          <w:lang w:eastAsia="fr-FR"/>
        </w:rPr>
        <w:t>.</w:t>
      </w:r>
    </w:p>
    <w:p w:rsidR="00C740F4" w:rsidRDefault="00C740F4">
      <w:pPr>
        <w:rPr>
          <w:b/>
          <w:sz w:val="28"/>
          <w:szCs w:val="26"/>
          <w:u w:val="single"/>
        </w:rPr>
      </w:pPr>
    </w:p>
    <w:p w:rsidR="009F63D6" w:rsidRPr="00921516" w:rsidRDefault="009F63D6" w:rsidP="009F63D6">
      <w:pPr>
        <w:ind w:left="360"/>
        <w:rPr>
          <w:b/>
          <w:sz w:val="24"/>
          <w:szCs w:val="24"/>
        </w:rPr>
      </w:pPr>
      <w:r w:rsidRPr="00921516">
        <w:rPr>
          <w:b/>
          <w:sz w:val="24"/>
          <w:szCs w:val="24"/>
          <w:u w:val="single"/>
        </w:rPr>
        <w:t>Nos atouts en qualité d’employeur</w:t>
      </w:r>
      <w:r w:rsidR="00280350" w:rsidRPr="00921516">
        <w:rPr>
          <w:b/>
          <w:sz w:val="24"/>
          <w:szCs w:val="24"/>
        </w:rPr>
        <w:t> :</w:t>
      </w:r>
    </w:p>
    <w:p w:rsidR="009F63D6" w:rsidRPr="00921516" w:rsidRDefault="00C740F4" w:rsidP="009F63D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21516">
        <w:rPr>
          <w:sz w:val="24"/>
          <w:szCs w:val="24"/>
        </w:rPr>
        <w:t>Une action sociale r</w:t>
      </w:r>
      <w:r w:rsidR="009F63D6" w:rsidRPr="00921516">
        <w:rPr>
          <w:sz w:val="24"/>
          <w:szCs w:val="24"/>
        </w:rPr>
        <w:t xml:space="preserve">iche et proposée aux titulaires comme aux contractuels → </w:t>
      </w:r>
      <w:hyperlink r:id="rId12" w:history="1">
        <w:r w:rsidR="009F63D6" w:rsidRPr="00921516">
          <w:rPr>
            <w:rStyle w:val="Lienhypertexte"/>
            <w:sz w:val="24"/>
            <w:szCs w:val="24"/>
          </w:rPr>
          <w:t>https://www.ac-dijon.fr/l-action-sociale-en-faveur-des-personnels-126592</w:t>
        </w:r>
      </w:hyperlink>
    </w:p>
    <w:p w:rsidR="009F63D6" w:rsidRPr="00921516" w:rsidRDefault="009F63D6" w:rsidP="009F63D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21516">
        <w:rPr>
          <w:sz w:val="24"/>
          <w:szCs w:val="24"/>
        </w:rPr>
        <w:t xml:space="preserve">Une vraie politique d’accueil des nouveaux arrivants avec un livret d’accueil en ligne pour préparer son arrivée → </w:t>
      </w:r>
      <w:hyperlink r:id="rId13" w:history="1">
        <w:r w:rsidRPr="00921516">
          <w:rPr>
            <w:rStyle w:val="Lienhypertexte"/>
            <w:sz w:val="24"/>
            <w:szCs w:val="24"/>
          </w:rPr>
          <w:t>https://www.ac-dijon.fr/livret-d-accueil-2022-126658</w:t>
        </w:r>
      </w:hyperlink>
      <w:r w:rsidRPr="00921516">
        <w:rPr>
          <w:sz w:val="24"/>
          <w:szCs w:val="24"/>
        </w:rPr>
        <w:t xml:space="preserve"> et </w:t>
      </w:r>
      <w:hyperlink r:id="rId14" w:history="1">
        <w:r w:rsidRPr="00921516">
          <w:rPr>
            <w:rStyle w:val="Lienhypertexte"/>
            <w:sz w:val="24"/>
            <w:szCs w:val="24"/>
          </w:rPr>
          <w:t>https://www.ac-dijon.fr/portail-des-territoires</w:t>
        </w:r>
      </w:hyperlink>
      <w:r w:rsidRPr="00921516">
        <w:rPr>
          <w:sz w:val="24"/>
          <w:szCs w:val="24"/>
        </w:rPr>
        <w:t xml:space="preserve"> </w:t>
      </w:r>
    </w:p>
    <w:p w:rsidR="009F63D6" w:rsidRPr="00921516" w:rsidRDefault="009F63D6" w:rsidP="009F63D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21516">
        <w:rPr>
          <w:sz w:val="24"/>
          <w:szCs w:val="24"/>
        </w:rPr>
        <w:t>Un environnement de travail moderne, notamment numérique : portail agent dématérialisé, libre-service RH (Colibris) et supports (PIA)</w:t>
      </w:r>
    </w:p>
    <w:p w:rsidR="009F63D6" w:rsidRPr="00921516" w:rsidRDefault="009F63D6" w:rsidP="009F63D6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 w:rsidRPr="00921516">
        <w:rPr>
          <w:sz w:val="24"/>
          <w:szCs w:val="24"/>
        </w:rPr>
        <w:t>La proximité comme ADN → feuille de route RH, RH de proximité, etc.</w:t>
      </w:r>
    </w:p>
    <w:p w:rsidR="00C740F4" w:rsidRPr="00921516" w:rsidRDefault="009F63D6" w:rsidP="00E82861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 w:rsidRPr="00921516">
        <w:rPr>
          <w:sz w:val="24"/>
          <w:szCs w:val="24"/>
        </w:rPr>
        <w:t xml:space="preserve">Une organisation du travail collaborative favorisant flexibilité et autonomie : esprit et outils collaboratifs, </w:t>
      </w:r>
    </w:p>
    <w:p w:rsidR="009F63D6" w:rsidRPr="00921516" w:rsidRDefault="0029247F" w:rsidP="00E82861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Accès aisé transports en commun</w:t>
      </w:r>
      <w:r w:rsidR="009F63D6" w:rsidRPr="00921516">
        <w:rPr>
          <w:sz w:val="24"/>
          <w:szCs w:val="24"/>
        </w:rPr>
        <w:t xml:space="preserve"> et prise en charge de l’abonnement mensuel à hauteur de </w:t>
      </w:r>
      <w:r w:rsidR="00E33F45" w:rsidRPr="00921516">
        <w:rPr>
          <w:sz w:val="24"/>
          <w:szCs w:val="24"/>
        </w:rPr>
        <w:t>75</w:t>
      </w:r>
      <w:r w:rsidR="009F63D6" w:rsidRPr="00921516">
        <w:rPr>
          <w:sz w:val="24"/>
          <w:szCs w:val="24"/>
        </w:rPr>
        <w:t>% (dans la limite d’un plafond interministériel), parking VL et vélo à proximité, etc.</w:t>
      </w:r>
    </w:p>
    <w:p w:rsidR="009F63D6" w:rsidRPr="00921516" w:rsidRDefault="009F63D6" w:rsidP="009F63D6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 w:rsidRPr="00921516">
        <w:rPr>
          <w:sz w:val="24"/>
          <w:szCs w:val="24"/>
        </w:rPr>
        <w:t>Politique de RSE</w:t>
      </w:r>
      <w:r w:rsidRPr="00921516">
        <w:rPr>
          <w:rStyle w:val="Appelnotedebasdep"/>
          <w:sz w:val="24"/>
          <w:szCs w:val="24"/>
        </w:rPr>
        <w:footnoteReference w:id="3"/>
      </w:r>
      <w:r w:rsidRPr="00921516">
        <w:rPr>
          <w:sz w:val="24"/>
          <w:szCs w:val="24"/>
        </w:rPr>
        <w:t xml:space="preserve"> et QVT (labels, chartes, etc.).</w:t>
      </w:r>
    </w:p>
    <w:p w:rsidR="009F63D6" w:rsidRPr="00921516" w:rsidRDefault="009F63D6" w:rsidP="009F63D6">
      <w:pPr>
        <w:spacing w:before="120" w:after="120"/>
        <w:jc w:val="both"/>
        <w:rPr>
          <w:sz w:val="24"/>
          <w:szCs w:val="24"/>
        </w:rPr>
      </w:pPr>
    </w:p>
    <w:p w:rsidR="009F63D6" w:rsidRPr="00921516" w:rsidRDefault="00280350" w:rsidP="00280350">
      <w:pPr>
        <w:spacing w:before="120" w:after="120"/>
        <w:jc w:val="both"/>
        <w:rPr>
          <w:b/>
          <w:sz w:val="24"/>
          <w:szCs w:val="24"/>
        </w:rPr>
      </w:pPr>
      <w:r w:rsidRPr="00921516">
        <w:rPr>
          <w:b/>
          <w:sz w:val="24"/>
          <w:szCs w:val="24"/>
          <w:u w:val="single"/>
        </w:rPr>
        <w:t>Contact</w:t>
      </w:r>
      <w:r w:rsidRPr="00921516">
        <w:rPr>
          <w:b/>
          <w:sz w:val="24"/>
          <w:szCs w:val="24"/>
        </w:rPr>
        <w:t> :</w:t>
      </w:r>
    </w:p>
    <w:p w:rsidR="002A70AA" w:rsidRDefault="002A70AA" w:rsidP="0028035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IA – DASEN [</w:t>
      </w:r>
      <w:r w:rsidRPr="002A70AA">
        <w:rPr>
          <w:sz w:val="24"/>
          <w:szCs w:val="24"/>
        </w:rPr>
        <w:t>dasen58@ac-dijon.fr</w:t>
      </w:r>
      <w:r>
        <w:rPr>
          <w:sz w:val="24"/>
          <w:szCs w:val="24"/>
        </w:rPr>
        <w:t>]</w:t>
      </w:r>
    </w:p>
    <w:p w:rsidR="002A70AA" w:rsidRDefault="002A70AA" w:rsidP="0028035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IEN Nevers 1 –chargée de mission RURALIT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 de la Nièvre [</w:t>
      </w:r>
      <w:r w:rsidRPr="002A70AA">
        <w:rPr>
          <w:sz w:val="24"/>
          <w:szCs w:val="24"/>
        </w:rPr>
        <w:t>annette.gien@ac-dijon.fr</w:t>
      </w:r>
      <w:r>
        <w:rPr>
          <w:sz w:val="24"/>
          <w:szCs w:val="24"/>
        </w:rPr>
        <w:t>]</w:t>
      </w:r>
    </w:p>
    <w:p w:rsidR="00A223B6" w:rsidRDefault="002A70AA" w:rsidP="0028035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SG de la DSDEN [</w:t>
      </w:r>
      <w:r w:rsidRPr="002A70AA">
        <w:rPr>
          <w:sz w:val="24"/>
          <w:szCs w:val="24"/>
        </w:rPr>
        <w:t>sgia58@ac-dijon.fr</w:t>
      </w:r>
      <w:r>
        <w:rPr>
          <w:sz w:val="24"/>
          <w:szCs w:val="24"/>
        </w:rPr>
        <w:t>]</w:t>
      </w:r>
    </w:p>
    <w:p w:rsidR="00A223B6" w:rsidRPr="00921516" w:rsidRDefault="00A223B6" w:rsidP="00714F84">
      <w:pPr>
        <w:spacing w:before="120" w:after="120"/>
        <w:jc w:val="both"/>
        <w:rPr>
          <w:b/>
          <w:sz w:val="24"/>
          <w:szCs w:val="24"/>
        </w:rPr>
      </w:pPr>
      <w:r w:rsidRPr="00921516">
        <w:rPr>
          <w:b/>
          <w:sz w:val="24"/>
          <w:szCs w:val="24"/>
          <w:u w:val="single"/>
        </w:rPr>
        <w:t>Formaliser sa candidature</w:t>
      </w:r>
      <w:r w:rsidRPr="00921516">
        <w:rPr>
          <w:b/>
          <w:sz w:val="24"/>
          <w:szCs w:val="24"/>
        </w:rPr>
        <w:t> :</w:t>
      </w:r>
    </w:p>
    <w:p w:rsidR="00A223B6" w:rsidRPr="0029247F" w:rsidRDefault="00A223B6" w:rsidP="00A223B6">
      <w:pPr>
        <w:pStyle w:val="Corps"/>
        <w:spacing w:after="0" w:line="240" w:lineRule="auto"/>
        <w:jc w:val="both"/>
        <w:rPr>
          <w:rStyle w:val="Aucun"/>
          <w:sz w:val="24"/>
          <w:szCs w:val="24"/>
          <w:shd w:val="clear" w:color="auto" w:fill="FFFFFF"/>
        </w:rPr>
      </w:pPr>
      <w:r w:rsidRPr="00921516">
        <w:rPr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3DAB1EA9" wp14:editId="68C40A64">
            <wp:simplePos x="0" y="0"/>
            <wp:positionH relativeFrom="column">
              <wp:posOffset>1726</wp:posOffset>
            </wp:positionH>
            <wp:positionV relativeFrom="paragraph">
              <wp:posOffset>2647</wp:posOffset>
            </wp:positionV>
            <wp:extent cx="809687" cy="809687"/>
            <wp:effectExtent l="0" t="0" r="9525" b="9525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urri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87" cy="809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1516">
        <w:rPr>
          <w:rStyle w:val="Aucun"/>
          <w:sz w:val="24"/>
          <w:szCs w:val="24"/>
        </w:rPr>
        <w:t>Les candidatures, accompagnées d’un curriculum-vitae détaillé, d’une lettre de motivation et de la copie du dernier arrêté de promotion et de nomination (titulaires), devront parvenir avant le</w:t>
      </w:r>
      <w:r w:rsidRPr="00921516">
        <w:rPr>
          <w:rStyle w:val="Aucun"/>
          <w:sz w:val="24"/>
          <w:szCs w:val="24"/>
          <w:shd w:val="clear" w:color="auto" w:fill="FFFFFF"/>
        </w:rPr>
        <w:t xml:space="preserve"> </w:t>
      </w:r>
      <w:r w:rsidR="0029247F">
        <w:rPr>
          <w:rStyle w:val="Aucun"/>
          <w:sz w:val="24"/>
          <w:szCs w:val="24"/>
          <w:shd w:val="clear" w:color="auto" w:fill="FFFFFF"/>
        </w:rPr>
        <w:t>23</w:t>
      </w:r>
      <w:r w:rsidR="00714F84" w:rsidRPr="00921516">
        <w:rPr>
          <w:rStyle w:val="Aucun"/>
          <w:sz w:val="24"/>
          <w:szCs w:val="24"/>
          <w:shd w:val="clear" w:color="auto" w:fill="FFFFFF"/>
        </w:rPr>
        <w:t>/</w:t>
      </w:r>
      <w:r w:rsidR="0029247F">
        <w:rPr>
          <w:rStyle w:val="Aucun"/>
          <w:sz w:val="24"/>
          <w:szCs w:val="24"/>
          <w:shd w:val="clear" w:color="auto" w:fill="FFFFFF"/>
        </w:rPr>
        <w:t>10</w:t>
      </w:r>
      <w:r w:rsidR="00714F84" w:rsidRPr="00921516">
        <w:rPr>
          <w:rStyle w:val="Aucun"/>
          <w:sz w:val="24"/>
          <w:szCs w:val="24"/>
          <w:shd w:val="clear" w:color="auto" w:fill="FFFFFF"/>
        </w:rPr>
        <w:t>/2023</w:t>
      </w:r>
      <w:r w:rsidRPr="00921516">
        <w:rPr>
          <w:rStyle w:val="Aucun"/>
          <w:sz w:val="24"/>
          <w:szCs w:val="24"/>
          <w:shd w:val="clear" w:color="auto" w:fill="FFFFFF"/>
        </w:rPr>
        <w:t xml:space="preserve"> </w:t>
      </w:r>
      <w:r w:rsidR="00714F84" w:rsidRPr="00921516">
        <w:rPr>
          <w:rStyle w:val="Aucun"/>
          <w:sz w:val="24"/>
          <w:szCs w:val="24"/>
          <w:shd w:val="clear" w:color="auto" w:fill="FFFFFF"/>
        </w:rPr>
        <w:t xml:space="preserve">à l’attention de </w:t>
      </w:r>
      <w:r w:rsidR="00507972" w:rsidRPr="00921516">
        <w:rPr>
          <w:rStyle w:val="Aucun"/>
          <w:sz w:val="24"/>
          <w:szCs w:val="24"/>
          <w:shd w:val="clear" w:color="auto" w:fill="FFFFFF"/>
        </w:rPr>
        <w:t>Madame la Directrice académique des services de l’éducation nationale de la Nièvre</w:t>
      </w:r>
      <w:r w:rsidR="00714F84" w:rsidRPr="00921516">
        <w:rPr>
          <w:rStyle w:val="Aucun"/>
          <w:sz w:val="24"/>
          <w:szCs w:val="24"/>
          <w:shd w:val="clear" w:color="auto" w:fill="FFFFFF"/>
        </w:rPr>
        <w:t xml:space="preserve"> </w:t>
      </w:r>
      <w:r w:rsidR="00B22F79">
        <w:rPr>
          <w:rStyle w:val="Aucun"/>
          <w:sz w:val="24"/>
          <w:szCs w:val="24"/>
          <w:shd w:val="clear" w:color="auto" w:fill="FFFFFF"/>
        </w:rPr>
        <w:t>–</w:t>
      </w:r>
      <w:r w:rsidR="00714F84" w:rsidRPr="00921516">
        <w:rPr>
          <w:rStyle w:val="Aucun"/>
          <w:sz w:val="24"/>
          <w:szCs w:val="24"/>
          <w:shd w:val="clear" w:color="auto" w:fill="FFFFFF"/>
        </w:rPr>
        <w:t xml:space="preserve"> </w:t>
      </w:r>
      <w:r w:rsidR="00B22F79" w:rsidRPr="0029247F">
        <w:rPr>
          <w:sz w:val="24"/>
          <w:szCs w:val="24"/>
        </w:rPr>
        <w:t>19, place S</w:t>
      </w:r>
      <w:r w:rsidR="0029247F" w:rsidRPr="0029247F">
        <w:rPr>
          <w:sz w:val="24"/>
          <w:szCs w:val="24"/>
        </w:rPr>
        <w:t>A</w:t>
      </w:r>
      <w:r w:rsidR="00B22F79" w:rsidRPr="0029247F">
        <w:rPr>
          <w:sz w:val="24"/>
          <w:szCs w:val="24"/>
        </w:rPr>
        <w:t>INT EXUPERY 58028 NEVERS</w:t>
      </w:r>
      <w:r w:rsidR="00A264A7">
        <w:rPr>
          <w:sz w:val="24"/>
          <w:szCs w:val="24"/>
        </w:rPr>
        <w:t xml:space="preserve"> et par mail à l’adresse : </w:t>
      </w:r>
      <w:r w:rsidR="00A264A7" w:rsidRPr="002A70AA">
        <w:rPr>
          <w:sz w:val="24"/>
          <w:szCs w:val="24"/>
        </w:rPr>
        <w:t>dasen58@ac-dijon.fr</w:t>
      </w:r>
    </w:p>
    <w:p w:rsidR="00A223B6" w:rsidRPr="00A223B6" w:rsidRDefault="00A223B6" w:rsidP="00A223B6">
      <w:pPr>
        <w:pStyle w:val="Corps"/>
        <w:spacing w:after="0" w:line="240" w:lineRule="auto"/>
        <w:jc w:val="both"/>
        <w:rPr>
          <w:rStyle w:val="Aucun"/>
          <w:sz w:val="26"/>
          <w:szCs w:val="26"/>
        </w:rPr>
      </w:pPr>
    </w:p>
    <w:p w:rsidR="009D24FB" w:rsidRPr="00A223B6" w:rsidRDefault="009D24FB" w:rsidP="00A223B6">
      <w:pPr>
        <w:spacing w:before="120" w:after="120"/>
        <w:jc w:val="both"/>
        <w:rPr>
          <w:b/>
          <w:sz w:val="26"/>
          <w:szCs w:val="26"/>
        </w:rPr>
      </w:pPr>
    </w:p>
    <w:sectPr w:rsidR="009D24FB" w:rsidRPr="00A223B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17" w:rsidRDefault="00DE5D17" w:rsidP="00AC08E2">
      <w:pPr>
        <w:spacing w:after="0" w:line="240" w:lineRule="auto"/>
      </w:pPr>
      <w:r>
        <w:separator/>
      </w:r>
    </w:p>
  </w:endnote>
  <w:endnote w:type="continuationSeparator" w:id="0">
    <w:p w:rsidR="00DE5D17" w:rsidRDefault="00DE5D17" w:rsidP="00AC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17" w:rsidRDefault="00DE5D17" w:rsidP="00AC08E2">
      <w:pPr>
        <w:spacing w:after="0" w:line="240" w:lineRule="auto"/>
      </w:pPr>
      <w:r>
        <w:separator/>
      </w:r>
    </w:p>
  </w:footnote>
  <w:footnote w:type="continuationSeparator" w:id="0">
    <w:p w:rsidR="00DE5D17" w:rsidRDefault="00DE5D17" w:rsidP="00AC08E2">
      <w:pPr>
        <w:spacing w:after="0" w:line="240" w:lineRule="auto"/>
      </w:pPr>
      <w:r>
        <w:continuationSeparator/>
      </w:r>
    </w:p>
  </w:footnote>
  <w:footnote w:id="1">
    <w:p w:rsidR="00B715C0" w:rsidRDefault="00B715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hgkelc"/>
        </w:rPr>
        <w:t xml:space="preserve">La catégorie A correspond à des </w:t>
      </w:r>
      <w:r>
        <w:rPr>
          <w:rStyle w:val="hgkelc"/>
          <w:b/>
          <w:bCs/>
        </w:rPr>
        <w:t>fonctions de conception, de direction et d'encadrement</w:t>
      </w:r>
      <w:r>
        <w:rPr>
          <w:rStyle w:val="hgkelc"/>
        </w:rPr>
        <w:t>. Les postes et les concours de catégorie A sont accessibles aux personnes ayant obtenu un diplôme bac+3 minimum.</w:t>
      </w:r>
    </w:p>
  </w:footnote>
  <w:footnote w:id="2">
    <w:p w:rsidR="00921516" w:rsidRDefault="00921516">
      <w:pPr>
        <w:pStyle w:val="Notedebasdepage"/>
      </w:pPr>
      <w:r>
        <w:rPr>
          <w:rStyle w:val="Appelnotedebasdep"/>
        </w:rPr>
        <w:footnoteRef/>
      </w:r>
      <w:r>
        <w:t xml:space="preserve"> Référentiel des métiers de la fonction publique</w:t>
      </w:r>
    </w:p>
  </w:footnote>
  <w:footnote w:id="3">
    <w:p w:rsidR="009F63D6" w:rsidRPr="00523046" w:rsidRDefault="009F63D6" w:rsidP="009F63D6">
      <w:pPr>
        <w:pStyle w:val="Notedebasdepage"/>
        <w:rPr>
          <w:sz w:val="16"/>
          <w:szCs w:val="16"/>
        </w:rPr>
      </w:pPr>
      <w:r w:rsidRPr="00523046">
        <w:rPr>
          <w:rStyle w:val="Appelnotedebasdep"/>
          <w:sz w:val="16"/>
          <w:szCs w:val="16"/>
        </w:rPr>
        <w:footnoteRef/>
      </w:r>
      <w:r w:rsidRPr="00523046">
        <w:rPr>
          <w:sz w:val="16"/>
          <w:szCs w:val="16"/>
        </w:rPr>
        <w:t xml:space="preserve"> RSE : responsabilité sociétale des entreprises</w:t>
      </w:r>
      <w:r>
        <w:rPr>
          <w:sz w:val="16"/>
          <w:szCs w:val="16"/>
        </w:rPr>
        <w:t xml:space="preserve"> (environnementale, sociale et sociétale) – QVT : qualité de vie au travail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E2" w:rsidRDefault="00AC08E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-585470</wp:posOffset>
          </wp:positionH>
          <wp:positionV relativeFrom="paragraph">
            <wp:posOffset>-125730</wp:posOffset>
          </wp:positionV>
          <wp:extent cx="1257300" cy="1257300"/>
          <wp:effectExtent l="0" t="0" r="0" b="0"/>
          <wp:wrapThrough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5E0"/>
    <w:multiLevelType w:val="hybridMultilevel"/>
    <w:tmpl w:val="20B67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C02"/>
    <w:multiLevelType w:val="multilevel"/>
    <w:tmpl w:val="5708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20B5B"/>
    <w:multiLevelType w:val="hybridMultilevel"/>
    <w:tmpl w:val="61042C56"/>
    <w:lvl w:ilvl="0" w:tplc="6706C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3FE"/>
    <w:multiLevelType w:val="hybridMultilevel"/>
    <w:tmpl w:val="40D48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09F7"/>
    <w:multiLevelType w:val="multilevel"/>
    <w:tmpl w:val="E7E82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11BB"/>
    <w:multiLevelType w:val="hybridMultilevel"/>
    <w:tmpl w:val="E6F2969C"/>
    <w:lvl w:ilvl="0" w:tplc="198096E8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43C9"/>
    <w:multiLevelType w:val="multilevel"/>
    <w:tmpl w:val="4B7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F3315"/>
    <w:multiLevelType w:val="hybridMultilevel"/>
    <w:tmpl w:val="BD948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82A"/>
    <w:multiLevelType w:val="hybridMultilevel"/>
    <w:tmpl w:val="616A846A"/>
    <w:lvl w:ilvl="0" w:tplc="38A6C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881C5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167D5"/>
    <w:multiLevelType w:val="hybridMultilevel"/>
    <w:tmpl w:val="3A24D0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96D3E"/>
    <w:multiLevelType w:val="hybridMultilevel"/>
    <w:tmpl w:val="53B49A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5622BB"/>
    <w:multiLevelType w:val="hybridMultilevel"/>
    <w:tmpl w:val="93769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E2"/>
    <w:rsid w:val="00031DB4"/>
    <w:rsid w:val="000567A1"/>
    <w:rsid w:val="000C7324"/>
    <w:rsid w:val="001D2698"/>
    <w:rsid w:val="00280350"/>
    <w:rsid w:val="00285A7A"/>
    <w:rsid w:val="0029247F"/>
    <w:rsid w:val="002A70AA"/>
    <w:rsid w:val="003063AC"/>
    <w:rsid w:val="003E70F3"/>
    <w:rsid w:val="004E290A"/>
    <w:rsid w:val="00507972"/>
    <w:rsid w:val="00544C40"/>
    <w:rsid w:val="006C559D"/>
    <w:rsid w:val="00714F84"/>
    <w:rsid w:val="007F6D77"/>
    <w:rsid w:val="00824CD9"/>
    <w:rsid w:val="00875280"/>
    <w:rsid w:val="008A3145"/>
    <w:rsid w:val="00921516"/>
    <w:rsid w:val="009D24FB"/>
    <w:rsid w:val="009F63D6"/>
    <w:rsid w:val="00A137E8"/>
    <w:rsid w:val="00A223B6"/>
    <w:rsid w:val="00A264A7"/>
    <w:rsid w:val="00AC08E2"/>
    <w:rsid w:val="00AC62AC"/>
    <w:rsid w:val="00B047C9"/>
    <w:rsid w:val="00B22F79"/>
    <w:rsid w:val="00B57C13"/>
    <w:rsid w:val="00B715C0"/>
    <w:rsid w:val="00BA40A5"/>
    <w:rsid w:val="00C704D2"/>
    <w:rsid w:val="00C740F4"/>
    <w:rsid w:val="00DE5D17"/>
    <w:rsid w:val="00E33F45"/>
    <w:rsid w:val="00E928CB"/>
    <w:rsid w:val="00E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25A0E"/>
  <w15:chartTrackingRefBased/>
  <w15:docId w15:val="{0526099D-C8BF-43D4-B24A-C6023BA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0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8E2"/>
  </w:style>
  <w:style w:type="paragraph" w:styleId="Pieddepage">
    <w:name w:val="footer"/>
    <w:basedOn w:val="Normal"/>
    <w:link w:val="PieddepageCar"/>
    <w:uiPriority w:val="99"/>
    <w:unhideWhenUsed/>
    <w:rsid w:val="00AC0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8E2"/>
  </w:style>
  <w:style w:type="paragraph" w:styleId="Paragraphedeliste">
    <w:name w:val="List Paragraph"/>
    <w:basedOn w:val="Normal"/>
    <w:uiPriority w:val="34"/>
    <w:qFormat/>
    <w:rsid w:val="00BA40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7C1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63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63D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63D6"/>
    <w:rPr>
      <w:vertAlign w:val="superscript"/>
    </w:rPr>
  </w:style>
  <w:style w:type="paragraph" w:customStyle="1" w:styleId="Corps">
    <w:name w:val="Corps"/>
    <w:rsid w:val="00A22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223B6"/>
    <w:rPr>
      <w:lang w:val="fr-FR"/>
    </w:rPr>
  </w:style>
  <w:style w:type="paragraph" w:styleId="NormalWeb">
    <w:name w:val="Normal (Web)"/>
    <w:basedOn w:val="Normal"/>
    <w:uiPriority w:val="99"/>
    <w:unhideWhenUsed/>
    <w:rsid w:val="004E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38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B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c-dijon.fr/livret-d-accueil-2022-1266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-dijon.fr/l-action-sociale-en-faveur-des-personnels-1265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dijon.fr/presentation-de-la-dsden-58-1223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c-dijon.fr" TargetMode="External"/><Relationship Id="rId14" Type="http://schemas.openxmlformats.org/officeDocument/2006/relationships/hyperlink" Target="https://www.ac-dijon.fr/portail-des-territoi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1DC4-2B04-4D3F-9285-2023313C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1353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Grange</dc:creator>
  <cp:keywords/>
  <dc:description/>
  <cp:lastModifiedBy>Cédric Petitjean</cp:lastModifiedBy>
  <cp:revision>4</cp:revision>
  <cp:lastPrinted>2023-08-17T07:39:00Z</cp:lastPrinted>
  <dcterms:created xsi:type="dcterms:W3CDTF">2023-10-05T06:44:00Z</dcterms:created>
  <dcterms:modified xsi:type="dcterms:W3CDTF">2023-10-06T12:58:00Z</dcterms:modified>
</cp:coreProperties>
</file>